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F4" w:rsidRPr="00282DF1" w:rsidRDefault="00E56DF4" w:rsidP="00282DF1">
      <w:pPr>
        <w:shd w:val="clear" w:color="auto" w:fill="FFFFFF"/>
        <w:jc w:val="center"/>
        <w:outlineLvl w:val="0"/>
        <w:rPr>
          <w:rFonts w:ascii="Times New Roman" w:eastAsia="Times New Roman" w:hAnsi="Times New Roman" w:cs="Times New Roman"/>
          <w:b/>
          <w:bCs/>
          <w:color w:val="333333"/>
          <w:kern w:val="36"/>
          <w:sz w:val="31"/>
          <w:szCs w:val="31"/>
          <w:lang w:eastAsia="ru-RU"/>
        </w:rPr>
      </w:pPr>
      <w:r w:rsidRPr="00282DF1">
        <w:rPr>
          <w:rFonts w:ascii="Times New Roman" w:eastAsia="Times New Roman" w:hAnsi="Times New Roman" w:cs="Times New Roman"/>
          <w:b/>
          <w:bCs/>
          <w:color w:val="333333"/>
          <w:kern w:val="36"/>
          <w:sz w:val="31"/>
          <w:szCs w:val="31"/>
          <w:lang w:eastAsia="ru-RU"/>
        </w:rPr>
        <w:t>Льготы по оплате за пользование учебниками и учебными пособиями</w:t>
      </w:r>
    </w:p>
    <w:p w:rsidR="00E56DF4" w:rsidRPr="00282DF1" w:rsidRDefault="00E56DF4" w:rsidP="00282DF1">
      <w:pPr>
        <w:shd w:val="clear" w:color="auto" w:fill="FFFFFF"/>
        <w:jc w:val="both"/>
        <w:rPr>
          <w:rFonts w:ascii="Times New Roman" w:eastAsia="Times New Roman" w:hAnsi="Times New Roman" w:cs="Times New Roman"/>
          <w:color w:val="333333"/>
          <w:sz w:val="24"/>
          <w:szCs w:val="24"/>
          <w:lang w:eastAsia="ru-RU"/>
        </w:rPr>
      </w:pPr>
      <w:r w:rsidRPr="00282DF1">
        <w:rPr>
          <w:rFonts w:ascii="Times New Roman" w:eastAsia="Times New Roman" w:hAnsi="Times New Roman" w:cs="Times New Roman"/>
          <w:color w:val="333333"/>
          <w:sz w:val="24"/>
          <w:szCs w:val="24"/>
          <w:lang w:eastAsia="ru-RU"/>
        </w:rPr>
        <w:t>Кодекс Рес</w:t>
      </w:r>
      <w:bookmarkStart w:id="0" w:name="_GoBack"/>
      <w:bookmarkEnd w:id="0"/>
      <w:r w:rsidRPr="00282DF1">
        <w:rPr>
          <w:rFonts w:ascii="Times New Roman" w:eastAsia="Times New Roman" w:hAnsi="Times New Roman" w:cs="Times New Roman"/>
          <w:color w:val="333333"/>
          <w:sz w:val="24"/>
          <w:szCs w:val="24"/>
          <w:lang w:eastAsia="ru-RU"/>
        </w:rPr>
        <w:t>публики Беларусь об образовании от 13 января 2011 г. № 243-З</w:t>
      </w:r>
    </w:p>
    <w:p w:rsidR="00E56DF4" w:rsidRPr="00282DF1" w:rsidRDefault="00E56DF4" w:rsidP="00282DF1">
      <w:pPr>
        <w:shd w:val="clear" w:color="auto" w:fill="FFFFFF"/>
        <w:jc w:val="both"/>
        <w:rPr>
          <w:rFonts w:ascii="Times New Roman" w:eastAsia="Times New Roman" w:hAnsi="Times New Roman" w:cs="Times New Roman"/>
          <w:color w:val="333333"/>
          <w:sz w:val="24"/>
          <w:szCs w:val="24"/>
          <w:lang w:eastAsia="ru-RU"/>
        </w:rPr>
      </w:pPr>
      <w:r w:rsidRPr="00282DF1">
        <w:rPr>
          <w:rFonts w:ascii="Times New Roman" w:eastAsia="Times New Roman" w:hAnsi="Times New Roman" w:cs="Times New Roman"/>
          <w:color w:val="333333"/>
          <w:sz w:val="24"/>
          <w:szCs w:val="24"/>
          <w:lang w:eastAsia="ru-RU"/>
        </w:rPr>
        <w:t>Постановление Совета министров Республики Беларусь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 </w:t>
      </w:r>
    </w:p>
    <w:tbl>
      <w:tblPr>
        <w:tblW w:w="1502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2503"/>
        <w:gridCol w:w="2257"/>
        <w:gridCol w:w="5121"/>
        <w:gridCol w:w="3260"/>
      </w:tblGrid>
      <w:tr w:rsidR="00E56DF4" w:rsidRPr="00E56DF4" w:rsidTr="00282DF1">
        <w:tc>
          <w:tcPr>
            <w:tcW w:w="1885" w:type="dxa"/>
            <w:tcMar>
              <w:top w:w="0" w:type="dxa"/>
              <w:left w:w="75" w:type="dxa"/>
              <w:bottom w:w="0" w:type="dxa"/>
              <w:right w:w="75" w:type="dxa"/>
            </w:tcMar>
            <w:hideMark/>
          </w:tcPr>
          <w:p w:rsidR="00E56DF4" w:rsidRPr="00E56DF4" w:rsidRDefault="00E56DF4" w:rsidP="00E56DF4">
            <w:pPr>
              <w:jc w:val="center"/>
              <w:rPr>
                <w:rFonts w:ascii="Times New Roman" w:eastAsia="Times New Roman" w:hAnsi="Times New Roman" w:cs="Times New Roman"/>
                <w:sz w:val="24"/>
                <w:szCs w:val="24"/>
                <w:lang w:eastAsia="ru-RU"/>
              </w:rPr>
            </w:pPr>
            <w:r w:rsidRPr="00E56DF4">
              <w:rPr>
                <w:rFonts w:ascii="Times New Roman" w:eastAsia="Times New Roman" w:hAnsi="Times New Roman" w:cs="Times New Roman"/>
                <w:b/>
                <w:bCs/>
                <w:sz w:val="24"/>
                <w:szCs w:val="24"/>
                <w:lang w:eastAsia="ru-RU"/>
              </w:rPr>
              <w:t>Наименование льгот</w:t>
            </w:r>
          </w:p>
        </w:tc>
        <w:tc>
          <w:tcPr>
            <w:tcW w:w="2503" w:type="dxa"/>
            <w:tcMar>
              <w:top w:w="0" w:type="dxa"/>
              <w:left w:w="75" w:type="dxa"/>
              <w:bottom w:w="0" w:type="dxa"/>
              <w:right w:w="75" w:type="dxa"/>
            </w:tcMar>
            <w:hideMark/>
          </w:tcPr>
          <w:p w:rsidR="00E56DF4" w:rsidRPr="00E56DF4" w:rsidRDefault="00E56DF4" w:rsidP="00E56DF4">
            <w:pPr>
              <w:jc w:val="center"/>
              <w:rPr>
                <w:rFonts w:ascii="Times New Roman" w:eastAsia="Times New Roman" w:hAnsi="Times New Roman" w:cs="Times New Roman"/>
                <w:sz w:val="24"/>
                <w:szCs w:val="24"/>
                <w:lang w:eastAsia="ru-RU"/>
              </w:rPr>
            </w:pPr>
            <w:r w:rsidRPr="00E56DF4">
              <w:rPr>
                <w:rFonts w:ascii="Times New Roman" w:eastAsia="Times New Roman" w:hAnsi="Times New Roman" w:cs="Times New Roman"/>
                <w:b/>
                <w:bCs/>
                <w:sz w:val="24"/>
                <w:szCs w:val="24"/>
                <w:lang w:eastAsia="ru-RU"/>
              </w:rPr>
              <w:t>Нормативный правовой акт о льготах (дата начала его действия)</w:t>
            </w:r>
          </w:p>
        </w:tc>
        <w:tc>
          <w:tcPr>
            <w:tcW w:w="2257" w:type="dxa"/>
            <w:tcMar>
              <w:top w:w="0" w:type="dxa"/>
              <w:left w:w="75" w:type="dxa"/>
              <w:bottom w:w="0" w:type="dxa"/>
              <w:right w:w="75" w:type="dxa"/>
            </w:tcMar>
            <w:hideMark/>
          </w:tcPr>
          <w:p w:rsidR="00E56DF4" w:rsidRPr="00E56DF4" w:rsidRDefault="00E56DF4" w:rsidP="00E56DF4">
            <w:pPr>
              <w:jc w:val="center"/>
              <w:rPr>
                <w:rFonts w:ascii="Times New Roman" w:eastAsia="Times New Roman" w:hAnsi="Times New Roman" w:cs="Times New Roman"/>
                <w:sz w:val="24"/>
                <w:szCs w:val="24"/>
                <w:lang w:eastAsia="ru-RU"/>
              </w:rPr>
            </w:pPr>
            <w:r w:rsidRPr="00E56DF4">
              <w:rPr>
                <w:rFonts w:ascii="Times New Roman" w:eastAsia="Times New Roman" w:hAnsi="Times New Roman" w:cs="Times New Roman"/>
                <w:b/>
                <w:bCs/>
                <w:sz w:val="24"/>
                <w:szCs w:val="24"/>
                <w:lang w:eastAsia="ru-RU"/>
              </w:rPr>
              <w:t>Нормы нормативных правовых актов</w:t>
            </w:r>
          </w:p>
        </w:tc>
        <w:tc>
          <w:tcPr>
            <w:tcW w:w="5121" w:type="dxa"/>
            <w:tcMar>
              <w:top w:w="0" w:type="dxa"/>
              <w:left w:w="75" w:type="dxa"/>
              <w:bottom w:w="0" w:type="dxa"/>
              <w:right w:w="75" w:type="dxa"/>
            </w:tcMar>
            <w:hideMark/>
          </w:tcPr>
          <w:p w:rsidR="00E56DF4" w:rsidRPr="00E56DF4" w:rsidRDefault="00E56DF4" w:rsidP="00E56DF4">
            <w:pPr>
              <w:jc w:val="center"/>
              <w:rPr>
                <w:rFonts w:ascii="Times New Roman" w:eastAsia="Times New Roman" w:hAnsi="Times New Roman" w:cs="Times New Roman"/>
                <w:sz w:val="24"/>
                <w:szCs w:val="24"/>
                <w:lang w:eastAsia="ru-RU"/>
              </w:rPr>
            </w:pPr>
            <w:r w:rsidRPr="00E56DF4">
              <w:rPr>
                <w:rFonts w:ascii="Times New Roman" w:eastAsia="Times New Roman" w:hAnsi="Times New Roman" w:cs="Times New Roman"/>
                <w:b/>
                <w:bCs/>
                <w:sz w:val="24"/>
                <w:szCs w:val="24"/>
                <w:lang w:eastAsia="ru-RU"/>
              </w:rPr>
              <w:t>Категории (особенности, характеристики) лица</w:t>
            </w:r>
          </w:p>
        </w:tc>
        <w:tc>
          <w:tcPr>
            <w:tcW w:w="3260" w:type="dxa"/>
            <w:tcMar>
              <w:top w:w="0" w:type="dxa"/>
              <w:left w:w="75" w:type="dxa"/>
              <w:bottom w:w="0" w:type="dxa"/>
              <w:right w:w="75" w:type="dxa"/>
            </w:tcMar>
            <w:hideMark/>
          </w:tcPr>
          <w:p w:rsidR="00E56DF4" w:rsidRPr="00E56DF4" w:rsidRDefault="00E56DF4" w:rsidP="00E56DF4">
            <w:pPr>
              <w:jc w:val="center"/>
              <w:rPr>
                <w:rFonts w:ascii="Times New Roman" w:eastAsia="Times New Roman" w:hAnsi="Times New Roman" w:cs="Times New Roman"/>
                <w:sz w:val="24"/>
                <w:szCs w:val="24"/>
                <w:lang w:eastAsia="ru-RU"/>
              </w:rPr>
            </w:pPr>
            <w:r w:rsidRPr="00E56DF4">
              <w:rPr>
                <w:rFonts w:ascii="Times New Roman" w:eastAsia="Times New Roman" w:hAnsi="Times New Roman" w:cs="Times New Roman"/>
                <w:b/>
                <w:bCs/>
                <w:sz w:val="24"/>
                <w:szCs w:val="24"/>
                <w:lang w:eastAsia="ru-RU"/>
              </w:rPr>
              <w:t>Документы, подтверждающие право на предоставление льгот</w:t>
            </w:r>
          </w:p>
        </w:tc>
      </w:tr>
      <w:tr w:rsidR="00E56DF4" w:rsidRPr="00E56DF4" w:rsidTr="00282DF1">
        <w:trPr>
          <w:trHeight w:val="2469"/>
        </w:trPr>
        <w:tc>
          <w:tcPr>
            <w:tcW w:w="1885"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1. Право на снижение платы за пользование учебниками и (или) учебными пособиями на 50% от установленной платы</w:t>
            </w:r>
          </w:p>
        </w:tc>
        <w:tc>
          <w:tcPr>
            <w:tcW w:w="2503"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Кодекс Республики Беларусь об образовании от 13 января 2011 г. № 243-З</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39. Пользование учебниками и учебными пособиями,  часть 3 пункта 2.</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Семьи, воспитывающие детей трое и более детей в возрасте до 18 лет</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Удостоверение многодетной семьи или  справка о составе семьи</w:t>
            </w:r>
          </w:p>
        </w:tc>
      </w:tr>
      <w:tr w:rsidR="00E56DF4" w:rsidRPr="00E56DF4" w:rsidTr="00282DF1">
        <w:tc>
          <w:tcPr>
            <w:tcW w:w="1885"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2. Право на бесплатное пользование учебниками и (или) учебными пособиями</w:t>
            </w: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39. Пользование учебниками и учебными пособиями,  часть 2 пункта 2.</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Учащиеся санаторных школ-интернатов, специальных учебно-воспитательных учреждений и специальных лечебно-воспитательных учреждений</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 </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282DF1">
            <w:pPr>
              <w:spacing w:after="24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Лица с особенностями психофизического развития, осваивающих содержание образовательных программ специального образования</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 xml:space="preserve">Заключение государственного центра </w:t>
            </w:r>
            <w:proofErr w:type="spellStart"/>
            <w:r w:rsidRPr="00E56DF4">
              <w:rPr>
                <w:rFonts w:ascii="Times New Roman" w:eastAsia="Times New Roman" w:hAnsi="Times New Roman" w:cs="Times New Roman"/>
                <w:sz w:val="24"/>
                <w:szCs w:val="24"/>
                <w:lang w:eastAsia="ru-RU"/>
              </w:rPr>
              <w:t>коррек-ционно-развивающе-го</w:t>
            </w:r>
            <w:proofErr w:type="spellEnd"/>
            <w:r w:rsidRPr="00E56DF4">
              <w:rPr>
                <w:rFonts w:ascii="Times New Roman" w:eastAsia="Times New Roman" w:hAnsi="Times New Roman" w:cs="Times New Roman"/>
                <w:sz w:val="24"/>
                <w:szCs w:val="24"/>
                <w:lang w:eastAsia="ru-RU"/>
              </w:rPr>
              <w:t xml:space="preserve"> обучения и реабилитации</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Дети-сироты и деты, оставшиеся без попечения родителей, а также лица из числа детей-сирот и детей, оставшихся без попечения родителей</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 </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282DF1">
            <w:pPr>
              <w:spacing w:after="24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Дети-инвалиды в возрасте до 18 лет, инвалиды с детства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Удостоверение инвалида</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282DF1" w:rsidRPr="00E56DF4" w:rsidRDefault="00E56DF4" w:rsidP="00282DF1">
            <w:pPr>
              <w:spacing w:after="24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Лица, осваивающие содержание образовательной программы дошкольного образования и страдающие онкологическими заболеваниями или больные туберкулезом</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Выписка из медицинских документов</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Кодекс Республики Беларусь об образовании от 13 января 2011 г. № 243-З</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39. Пользование учебниками и учебными пособиями,  часть 2 пункта 2.</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Обучающиеся из семей, в которых один или оба родителя являются инвалидами I или II группы</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Удостоверение инвалида</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Кодекс Республики Беларусь об образовании от 13 января 2011 г. № 243-З</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39. Пользование учебниками и учебными пособиями,  часть 3.</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Лица, осваивающие содержание образовательных программ профессионально-технического, среднего специального, высшего образования</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 </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29.12.2012 года № 7-З «О государственных пособиях семьям, воспитывающим детей»</w:t>
            </w:r>
          </w:p>
        </w:tc>
        <w:tc>
          <w:tcPr>
            <w:tcW w:w="2257"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14.Пособие на детей старше 3 лет из отдельных категорий семей</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Обучающиеся из семей, которые получают государственное пособие на детей старше трех лет из отдельных категорий семей, в которых:</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Справка о пособии</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E56DF4">
            <w:pPr>
              <w:numPr>
                <w:ilvl w:val="0"/>
                <w:numId w:val="1"/>
              </w:numPr>
              <w:ind w:left="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воспитывается ребенок-инвалид в возрасте до 18 лет;</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Справка о пособии</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E56DF4">
            <w:pPr>
              <w:numPr>
                <w:ilvl w:val="0"/>
                <w:numId w:val="2"/>
              </w:numPr>
              <w:ind w:left="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воспитывается ребенок в возрасте до 18 лет, инфицированный вирусом иммунодефицита человека;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Справка о пособии</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5121" w:type="dxa"/>
            <w:tcMar>
              <w:top w:w="0" w:type="dxa"/>
              <w:left w:w="75" w:type="dxa"/>
              <w:bottom w:w="0" w:type="dxa"/>
              <w:right w:w="75" w:type="dxa"/>
            </w:tcMar>
            <w:hideMark/>
          </w:tcPr>
          <w:p w:rsidR="00E56DF4" w:rsidRPr="00E56DF4" w:rsidRDefault="00E56DF4" w:rsidP="00E56DF4">
            <w:pPr>
              <w:numPr>
                <w:ilvl w:val="0"/>
                <w:numId w:val="3"/>
              </w:numPr>
              <w:ind w:left="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отец (отчим) или усыновитель (</w:t>
            </w:r>
            <w:proofErr w:type="spellStart"/>
            <w:r w:rsidRPr="00E56DF4">
              <w:rPr>
                <w:rFonts w:ascii="Times New Roman" w:eastAsia="Times New Roman" w:hAnsi="Times New Roman" w:cs="Times New Roman"/>
                <w:sz w:val="24"/>
                <w:szCs w:val="24"/>
                <w:lang w:eastAsia="ru-RU"/>
              </w:rPr>
              <w:t>удочеритель</w:t>
            </w:r>
            <w:proofErr w:type="spellEnd"/>
            <w:r w:rsidRPr="00E56DF4">
              <w:rPr>
                <w:rFonts w:ascii="Times New Roman" w:eastAsia="Times New Roman" w:hAnsi="Times New Roman" w:cs="Times New Roman"/>
                <w:sz w:val="24"/>
                <w:szCs w:val="24"/>
                <w:lang w:eastAsia="ru-RU"/>
              </w:rPr>
              <w:t>) являются военнослужащими, проходящими срочную военную службу.</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Справка о пособии</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от 14.06.2007 года </w:t>
            </w:r>
            <w:hyperlink r:id="rId7" w:history="1">
              <w:r w:rsidRPr="00E56DF4">
                <w:rPr>
                  <w:rFonts w:ascii="Times New Roman" w:eastAsia="Times New Roman" w:hAnsi="Times New Roman" w:cs="Times New Roman"/>
                  <w:color w:val="002F52"/>
                  <w:sz w:val="24"/>
                  <w:szCs w:val="24"/>
                  <w:bdr w:val="none" w:sz="0" w:space="0" w:color="auto" w:frame="1"/>
                  <w:lang w:eastAsia="ru-RU"/>
                </w:rPr>
                <w:t>№ 239-З</w:t>
              </w:r>
            </w:hyperlink>
            <w:r w:rsidRPr="00E56DF4">
              <w:rPr>
                <w:rFonts w:ascii="Times New Roman" w:eastAsia="Times New Roman" w:hAnsi="Times New Roman" w:cs="Times New Roman"/>
                <w:sz w:val="24"/>
                <w:szCs w:val="24"/>
                <w:lang w:eastAsia="ru-RU"/>
              </w:rPr>
              <w:t>«О государственных социальных льготах, правах и гарантиях для отдельных категорий граждан»</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3 подпункт 3.2.</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Обучающиеся, являющиеся членами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tc>
        <w:tc>
          <w:tcPr>
            <w:tcW w:w="3260" w:type="dxa"/>
            <w:vMerge w:val="restart"/>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3 подпункт 3.4.</w:t>
            </w:r>
          </w:p>
        </w:tc>
        <w:tc>
          <w:tcPr>
            <w:tcW w:w="5121" w:type="dxa"/>
            <w:tcMar>
              <w:top w:w="0" w:type="dxa"/>
              <w:left w:w="75" w:type="dxa"/>
              <w:bottom w:w="0" w:type="dxa"/>
              <w:right w:w="75" w:type="dxa"/>
            </w:tcMar>
            <w:hideMark/>
          </w:tcPr>
          <w:p w:rsidR="00E56DF4" w:rsidRPr="00E56DF4" w:rsidRDefault="00E56DF4" w:rsidP="00282DF1">
            <w:pPr>
              <w:spacing w:after="240"/>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Обучающиеся, являющиеся членами семей лиц начальствующего и рядового состава органов внутренних дел и органов государственной безопасности, ставших инвалидами вследствие ранения, контузии, увечья или заболевания, полученных при исполнении служебных обязанностей в районах боевых действий </w:t>
            </w:r>
          </w:p>
        </w:tc>
        <w:tc>
          <w:tcPr>
            <w:tcW w:w="3260"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от 14.06.2007 года </w:t>
            </w:r>
            <w:hyperlink r:id="rId8" w:history="1">
              <w:r w:rsidRPr="00E56DF4">
                <w:rPr>
                  <w:rFonts w:ascii="Times New Roman" w:eastAsia="Times New Roman" w:hAnsi="Times New Roman" w:cs="Times New Roman"/>
                  <w:color w:val="002F52"/>
                  <w:sz w:val="24"/>
                  <w:szCs w:val="24"/>
                  <w:bdr w:val="none" w:sz="0" w:space="0" w:color="auto" w:frame="1"/>
                  <w:lang w:eastAsia="ru-RU"/>
                </w:rPr>
                <w:t>№ 239-З</w:t>
              </w:r>
            </w:hyperlink>
            <w:r w:rsidRPr="00E56DF4">
              <w:rPr>
                <w:rFonts w:ascii="Times New Roman" w:eastAsia="Times New Roman" w:hAnsi="Times New Roman" w:cs="Times New Roman"/>
                <w:sz w:val="24"/>
                <w:szCs w:val="24"/>
                <w:lang w:eastAsia="ru-RU"/>
              </w:rPr>
              <w:t>«О государственных социальных льготах, правах и гарантиях для отдельных категорий граждан»</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3 подпункт 3.7.</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Обучающиеся, являющиеся членами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от 14.06.2007 года </w:t>
            </w:r>
            <w:hyperlink r:id="rId9" w:history="1">
              <w:r w:rsidRPr="00E56DF4">
                <w:rPr>
                  <w:rFonts w:ascii="Times New Roman" w:eastAsia="Times New Roman" w:hAnsi="Times New Roman" w:cs="Times New Roman"/>
                  <w:color w:val="002F52"/>
                  <w:sz w:val="24"/>
                  <w:szCs w:val="24"/>
                  <w:bdr w:val="none" w:sz="0" w:space="0" w:color="auto" w:frame="1"/>
                  <w:lang w:eastAsia="ru-RU"/>
                </w:rPr>
                <w:t>№ 239-З</w:t>
              </w:r>
            </w:hyperlink>
            <w:r w:rsidRPr="00E56DF4">
              <w:rPr>
                <w:rFonts w:ascii="Times New Roman" w:eastAsia="Times New Roman" w:hAnsi="Times New Roman" w:cs="Times New Roman"/>
                <w:sz w:val="24"/>
                <w:szCs w:val="24"/>
                <w:lang w:eastAsia="ru-RU"/>
              </w:rPr>
              <w:t>«О государственных социальных льготах, правах и гарантиях для отдельных категорий граждан»</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10.</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proofErr w:type="gramStart"/>
            <w:r w:rsidRPr="00E56DF4">
              <w:rPr>
                <w:rFonts w:ascii="Times New Roman" w:eastAsia="Times New Roman" w:hAnsi="Times New Roman" w:cs="Times New Roman"/>
                <w:sz w:val="24"/>
                <w:szCs w:val="24"/>
                <w:lang w:eastAsia="ru-RU"/>
              </w:rPr>
              <w:t>Обучающиеся, являющиеся членами семей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w:t>
            </w:r>
            <w:proofErr w:type="gramEnd"/>
            <w:r w:rsidRPr="00E56DF4">
              <w:rPr>
                <w:rFonts w:ascii="Times New Roman" w:eastAsia="Times New Roman" w:hAnsi="Times New Roman" w:cs="Times New Roman"/>
                <w:sz w:val="24"/>
                <w:szCs w:val="24"/>
                <w:lang w:eastAsia="ru-RU"/>
              </w:rPr>
              <w:t xml:space="preserve">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Свидетельство о рождении, удостоверение инвалида о праве на льготы родителя, удостоверение о праве на льготы либо справку о праве на льготы</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от 14.06.2007 года </w:t>
            </w:r>
            <w:hyperlink r:id="rId10" w:history="1">
              <w:r w:rsidRPr="00E56DF4">
                <w:rPr>
                  <w:rFonts w:ascii="Times New Roman" w:eastAsia="Times New Roman" w:hAnsi="Times New Roman" w:cs="Times New Roman"/>
                  <w:color w:val="002F52"/>
                  <w:sz w:val="24"/>
                  <w:szCs w:val="24"/>
                  <w:bdr w:val="none" w:sz="0" w:space="0" w:color="auto" w:frame="1"/>
                  <w:lang w:eastAsia="ru-RU"/>
                </w:rPr>
                <w:t>№ 239-З</w:t>
              </w:r>
            </w:hyperlink>
            <w:r w:rsidRPr="00E56DF4">
              <w:rPr>
                <w:rFonts w:ascii="Times New Roman" w:eastAsia="Times New Roman" w:hAnsi="Times New Roman" w:cs="Times New Roman"/>
                <w:sz w:val="24"/>
                <w:szCs w:val="24"/>
                <w:lang w:eastAsia="ru-RU"/>
              </w:rPr>
              <w:t>«О государственных социальных льготах, правах и гарантиях для отдельных категорий граждан»</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12 подпункт 12.2.</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proofErr w:type="gramStart"/>
            <w:r w:rsidRPr="00E56DF4">
              <w:rPr>
                <w:rFonts w:ascii="Times New Roman" w:eastAsia="Times New Roman" w:hAnsi="Times New Roman" w:cs="Times New Roman"/>
                <w:sz w:val="24"/>
                <w:szCs w:val="24"/>
                <w:lang w:eastAsia="ru-RU"/>
              </w:rPr>
              <w:t xml:space="preserve">Обучающиеся, являющиеся членами семей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w:t>
            </w:r>
            <w:r w:rsidRPr="00E56DF4">
              <w:rPr>
                <w:rFonts w:ascii="Times New Roman" w:eastAsia="Times New Roman" w:hAnsi="Times New Roman" w:cs="Times New Roman"/>
                <w:sz w:val="24"/>
                <w:szCs w:val="24"/>
                <w:lang w:eastAsia="ru-RU"/>
              </w:rPr>
              <w:lastRenderedPageBreak/>
              <w:t>когда гибель (смерть) наступила в результате противоправных действий, по причине алкогольного, наркотического, токсического</w:t>
            </w:r>
            <w:proofErr w:type="gramEnd"/>
            <w:r w:rsidRPr="00E56DF4">
              <w:rPr>
                <w:rFonts w:ascii="Times New Roman" w:eastAsia="Times New Roman" w:hAnsi="Times New Roman" w:cs="Times New Roman"/>
                <w:sz w:val="24"/>
                <w:szCs w:val="24"/>
                <w:lang w:eastAsia="ru-RU"/>
              </w:rPr>
              <w:t xml:space="preserve"> опьянения, членовредительства или самоубийства, если оно не было вызвано болезненным состоянием или доведением до самоубийства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lastRenderedPageBreak/>
              <w:t>Удостоверение инвалида о праве на льготы родителя, удостоверение о праве на льготы либо справку о праве на льготы</w:t>
            </w:r>
          </w:p>
        </w:tc>
      </w:tr>
      <w:tr w:rsidR="00E56DF4" w:rsidRPr="00E56DF4" w:rsidTr="00282DF1">
        <w:tc>
          <w:tcPr>
            <w:tcW w:w="1885" w:type="dxa"/>
            <w:vMerge/>
            <w:vAlign w:val="center"/>
            <w:hideMark/>
          </w:tcPr>
          <w:p w:rsidR="00E56DF4" w:rsidRPr="00E56DF4" w:rsidRDefault="00E56DF4" w:rsidP="00E56DF4">
            <w:pPr>
              <w:rPr>
                <w:rFonts w:ascii="Times New Roman" w:eastAsia="Times New Roman" w:hAnsi="Times New Roman" w:cs="Times New Roman"/>
                <w:sz w:val="24"/>
                <w:szCs w:val="24"/>
                <w:lang w:eastAsia="ru-RU"/>
              </w:rPr>
            </w:pPr>
          </w:p>
        </w:tc>
        <w:tc>
          <w:tcPr>
            <w:tcW w:w="2503"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Закон Республики Беларусь от 14.06.2007 года </w:t>
            </w:r>
            <w:hyperlink r:id="rId11" w:history="1">
              <w:r w:rsidRPr="00E56DF4">
                <w:rPr>
                  <w:rFonts w:ascii="Times New Roman" w:eastAsia="Times New Roman" w:hAnsi="Times New Roman" w:cs="Times New Roman"/>
                  <w:color w:val="002F52"/>
                  <w:sz w:val="24"/>
                  <w:szCs w:val="24"/>
                  <w:bdr w:val="none" w:sz="0" w:space="0" w:color="auto" w:frame="1"/>
                  <w:lang w:eastAsia="ru-RU"/>
                </w:rPr>
                <w:t>№ 239-З</w:t>
              </w:r>
            </w:hyperlink>
            <w:r w:rsidRPr="00E56DF4">
              <w:rPr>
                <w:rFonts w:ascii="Times New Roman" w:eastAsia="Times New Roman" w:hAnsi="Times New Roman" w:cs="Times New Roman"/>
                <w:sz w:val="24"/>
                <w:szCs w:val="24"/>
                <w:lang w:eastAsia="ru-RU"/>
              </w:rPr>
              <w:t>«О государственных социальных льготах, правах и гарантиях для отдельных категорий граждан»</w:t>
            </w:r>
          </w:p>
        </w:tc>
        <w:tc>
          <w:tcPr>
            <w:tcW w:w="2257"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Статья 3 пункт 12 подпункт 12.3.</w:t>
            </w:r>
          </w:p>
        </w:tc>
        <w:tc>
          <w:tcPr>
            <w:tcW w:w="5121"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proofErr w:type="gramStart"/>
            <w:r w:rsidRPr="00E56DF4">
              <w:rPr>
                <w:rFonts w:ascii="Times New Roman" w:eastAsia="Times New Roman" w:hAnsi="Times New Roman" w:cs="Times New Roman"/>
                <w:sz w:val="24"/>
                <w:szCs w:val="24"/>
                <w:lang w:eastAsia="ru-RU"/>
              </w:rPr>
              <w:t>Обучающиеся, являющиеся членами семей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w:t>
            </w:r>
            <w:proofErr w:type="gramEnd"/>
            <w:r w:rsidRPr="00E56DF4">
              <w:rPr>
                <w:rFonts w:ascii="Times New Roman" w:eastAsia="Times New Roman" w:hAnsi="Times New Roman" w:cs="Times New Roman"/>
                <w:sz w:val="24"/>
                <w:szCs w:val="24"/>
                <w:lang w:eastAsia="ru-RU"/>
              </w:rPr>
              <w:t xml:space="preserve">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3260" w:type="dxa"/>
            <w:tcMar>
              <w:top w:w="0" w:type="dxa"/>
              <w:left w:w="75" w:type="dxa"/>
              <w:bottom w:w="0" w:type="dxa"/>
              <w:right w:w="75" w:type="dxa"/>
            </w:tcMar>
            <w:hideMark/>
          </w:tcPr>
          <w:p w:rsidR="00E56DF4" w:rsidRPr="00E56DF4" w:rsidRDefault="00E56DF4" w:rsidP="00E56DF4">
            <w:pPr>
              <w:rPr>
                <w:rFonts w:ascii="Times New Roman" w:eastAsia="Times New Roman" w:hAnsi="Times New Roman" w:cs="Times New Roman"/>
                <w:sz w:val="24"/>
                <w:szCs w:val="24"/>
                <w:lang w:eastAsia="ru-RU"/>
              </w:rPr>
            </w:pPr>
            <w:r w:rsidRPr="00E56DF4">
              <w:rPr>
                <w:rFonts w:ascii="Times New Roman" w:eastAsia="Times New Roman" w:hAnsi="Times New Roman" w:cs="Times New Roman"/>
                <w:sz w:val="24"/>
                <w:szCs w:val="24"/>
                <w:lang w:eastAsia="ru-RU"/>
              </w:rPr>
              <w:t xml:space="preserve">Удостоверение инвалида о праве на льготы родителя, удостоверение о праве на льготы либо справку о праве </w:t>
            </w:r>
            <w:proofErr w:type="gramStart"/>
            <w:r w:rsidRPr="00E56DF4">
              <w:rPr>
                <w:rFonts w:ascii="Times New Roman" w:eastAsia="Times New Roman" w:hAnsi="Times New Roman" w:cs="Times New Roman"/>
                <w:sz w:val="24"/>
                <w:szCs w:val="24"/>
                <w:lang w:eastAsia="ru-RU"/>
              </w:rPr>
              <w:t>н</w:t>
            </w:r>
            <w:proofErr w:type="gramEnd"/>
          </w:p>
        </w:tc>
      </w:tr>
    </w:tbl>
    <w:p w:rsidR="006431CD" w:rsidRDefault="006431CD"/>
    <w:sectPr w:rsidR="006431CD" w:rsidSect="00E56DF4">
      <w:pgSz w:w="16838" w:h="11906" w:orient="landscape"/>
      <w:pgMar w:top="426"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911FE"/>
    <w:multiLevelType w:val="multilevel"/>
    <w:tmpl w:val="BDEC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65AF2"/>
    <w:multiLevelType w:val="multilevel"/>
    <w:tmpl w:val="77404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FC65C7"/>
    <w:multiLevelType w:val="multilevel"/>
    <w:tmpl w:val="8C82E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F4"/>
    <w:rsid w:val="00173A24"/>
    <w:rsid w:val="00282DF1"/>
    <w:rsid w:val="00383467"/>
    <w:rsid w:val="006431CD"/>
    <w:rsid w:val="00E56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DF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D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6DF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6DF4"/>
  </w:style>
  <w:style w:type="character" w:styleId="a4">
    <w:name w:val="Strong"/>
    <w:basedOn w:val="a0"/>
    <w:uiPriority w:val="22"/>
    <w:qFormat/>
    <w:rsid w:val="00E56DF4"/>
    <w:rPr>
      <w:b/>
      <w:bCs/>
    </w:rPr>
  </w:style>
  <w:style w:type="character" w:styleId="a5">
    <w:name w:val="Hyperlink"/>
    <w:basedOn w:val="a0"/>
    <w:uiPriority w:val="99"/>
    <w:semiHidden/>
    <w:unhideWhenUsed/>
    <w:rsid w:val="00E56DF4"/>
    <w:rPr>
      <w:color w:val="0000FF"/>
      <w:u w:val="single"/>
    </w:rPr>
  </w:style>
  <w:style w:type="paragraph" w:styleId="a6">
    <w:name w:val="Balloon Text"/>
    <w:basedOn w:val="a"/>
    <w:link w:val="a7"/>
    <w:uiPriority w:val="99"/>
    <w:semiHidden/>
    <w:unhideWhenUsed/>
    <w:rsid w:val="00E56DF4"/>
    <w:rPr>
      <w:rFonts w:ascii="Tahoma" w:hAnsi="Tahoma" w:cs="Tahoma"/>
      <w:sz w:val="16"/>
      <w:szCs w:val="16"/>
    </w:rPr>
  </w:style>
  <w:style w:type="character" w:customStyle="1" w:styleId="a7">
    <w:name w:val="Текст выноски Знак"/>
    <w:basedOn w:val="a0"/>
    <w:link w:val="a6"/>
    <w:uiPriority w:val="99"/>
    <w:semiHidden/>
    <w:rsid w:val="00E56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56DF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DF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56DF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6DF4"/>
  </w:style>
  <w:style w:type="character" w:styleId="a4">
    <w:name w:val="Strong"/>
    <w:basedOn w:val="a0"/>
    <w:uiPriority w:val="22"/>
    <w:qFormat/>
    <w:rsid w:val="00E56DF4"/>
    <w:rPr>
      <w:b/>
      <w:bCs/>
    </w:rPr>
  </w:style>
  <w:style w:type="character" w:styleId="a5">
    <w:name w:val="Hyperlink"/>
    <w:basedOn w:val="a0"/>
    <w:uiPriority w:val="99"/>
    <w:semiHidden/>
    <w:unhideWhenUsed/>
    <w:rsid w:val="00E56DF4"/>
    <w:rPr>
      <w:color w:val="0000FF"/>
      <w:u w:val="single"/>
    </w:rPr>
  </w:style>
  <w:style w:type="paragraph" w:styleId="a6">
    <w:name w:val="Balloon Text"/>
    <w:basedOn w:val="a"/>
    <w:link w:val="a7"/>
    <w:uiPriority w:val="99"/>
    <w:semiHidden/>
    <w:unhideWhenUsed/>
    <w:rsid w:val="00E56DF4"/>
    <w:rPr>
      <w:rFonts w:ascii="Tahoma" w:hAnsi="Tahoma" w:cs="Tahoma"/>
      <w:sz w:val="16"/>
      <w:szCs w:val="16"/>
    </w:rPr>
  </w:style>
  <w:style w:type="character" w:customStyle="1" w:styleId="a7">
    <w:name w:val="Текст выноски Знак"/>
    <w:basedOn w:val="a0"/>
    <w:link w:val="a6"/>
    <w:uiPriority w:val="99"/>
    <w:semiHidden/>
    <w:rsid w:val="00E56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80969">
      <w:bodyDiv w:val="1"/>
      <w:marLeft w:val="0"/>
      <w:marRight w:val="0"/>
      <w:marTop w:val="0"/>
      <w:marBottom w:val="0"/>
      <w:divBdr>
        <w:top w:val="none" w:sz="0" w:space="0" w:color="auto"/>
        <w:left w:val="none" w:sz="0" w:space="0" w:color="auto"/>
        <w:bottom w:val="none" w:sz="0" w:space="0" w:color="auto"/>
        <w:right w:val="none" w:sz="0" w:space="0" w:color="auto"/>
      </w:divBdr>
      <w:divsChild>
        <w:div w:id="84301536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com/zakon_rb_o_gosudarstvennyh_sotsialnyh_lgotah_pravah_i_garantiyah/download.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odeksy-by.com/zakon_rb_o_gosudarstvennyh_sotsialnyh_lgotah_pravah_i_garantiyah/download.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deksy-by.com/zakon_rb_o_gosudarstvennyh_sotsialnyh_lgotah_pravah_i_garantiyah/download.htm" TargetMode="External"/><Relationship Id="rId5" Type="http://schemas.openxmlformats.org/officeDocument/2006/relationships/settings" Target="settings.xml"/><Relationship Id="rId10" Type="http://schemas.openxmlformats.org/officeDocument/2006/relationships/hyperlink" Target="http://kodeksy-by.com/zakon_rb_o_gosudarstvennyh_sotsialnyh_lgotah_pravah_i_garantiyah/download.htm" TargetMode="External"/><Relationship Id="rId4" Type="http://schemas.microsoft.com/office/2007/relationships/stylesWithEffects" Target="stylesWithEffects.xml"/><Relationship Id="rId9" Type="http://schemas.openxmlformats.org/officeDocument/2006/relationships/hyperlink" Target="http://kodeksy-by.com/zakon_rb_o_gosudarstvennyh_sotsialnyh_lgotah_pravah_i_garantiyah/downloa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B479-D5FD-4DA9-AB01-107BFAB1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2019-09-04T12:47:00Z</cp:lastPrinted>
  <dcterms:created xsi:type="dcterms:W3CDTF">2019-09-03T13:13:00Z</dcterms:created>
  <dcterms:modified xsi:type="dcterms:W3CDTF">2019-09-04T12:56:00Z</dcterms:modified>
</cp:coreProperties>
</file>